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BA" w:rsidRPr="00B82FD3" w:rsidRDefault="005966BA" w:rsidP="005966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5966BA" w:rsidRPr="00B82FD3" w:rsidRDefault="005966BA" w:rsidP="005966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 отчету об исполнении бюджета муниципального района</w:t>
      </w:r>
    </w:p>
    <w:p w:rsidR="005966BA" w:rsidRPr="00B82FD3" w:rsidRDefault="005966BA" w:rsidP="005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</w:t>
      </w:r>
      <w:r w:rsidR="00915929" w:rsidRPr="00B82FD3">
        <w:rPr>
          <w:rFonts w:ascii="Times New Roman" w:eastAsia="Times New Roman" w:hAnsi="Times New Roman"/>
          <w:sz w:val="28"/>
          <w:szCs w:val="28"/>
          <w:lang w:eastAsia="ru-RU"/>
        </w:rPr>
        <w:t>кий</w:t>
      </w:r>
      <w:proofErr w:type="spellEnd"/>
      <w:r w:rsidR="00915929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15929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="00915929" w:rsidRPr="00B82FD3">
        <w:rPr>
          <w:rFonts w:ascii="Times New Roman" w:eastAsia="Times New Roman" w:hAnsi="Times New Roman"/>
          <w:sz w:val="28"/>
          <w:szCs w:val="28"/>
          <w:lang w:eastAsia="ru-RU"/>
        </w:rPr>
        <w:t>» Республики Тыва за 2</w:t>
      </w:r>
      <w:r w:rsidRPr="00B82FD3">
        <w:rPr>
          <w:rFonts w:ascii="Times New Roman" w:hAnsi="Times New Roman"/>
          <w:sz w:val="28"/>
          <w:szCs w:val="28"/>
        </w:rPr>
        <w:t xml:space="preserve"> квартал 2025 года</w:t>
      </w:r>
    </w:p>
    <w:p w:rsidR="005966BA" w:rsidRPr="00B82FD3" w:rsidRDefault="005966BA" w:rsidP="005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6BA" w:rsidRPr="00B82FD3" w:rsidRDefault="005966BA" w:rsidP="005966BA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1. Доходы бюджета</w:t>
      </w:r>
    </w:p>
    <w:p w:rsidR="005966BA" w:rsidRPr="00B82FD3" w:rsidRDefault="005966BA" w:rsidP="005966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80" w:rsidRPr="00B82FD3" w:rsidRDefault="005F5E80" w:rsidP="009159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hAnsi="Times New Roman"/>
          <w:sz w:val="28"/>
          <w:szCs w:val="28"/>
          <w:lang w:eastAsia="ru-RU"/>
        </w:rPr>
        <w:t xml:space="preserve">За 6 месяцев 2025 года план поступления </w:t>
      </w:r>
      <w:r w:rsidRPr="00B82FD3">
        <w:rPr>
          <w:rFonts w:ascii="Times New Roman" w:hAnsi="Times New Roman"/>
          <w:b/>
          <w:sz w:val="28"/>
          <w:szCs w:val="28"/>
          <w:lang w:eastAsia="ru-RU"/>
        </w:rPr>
        <w:t>налоговых и неналоговых доходов</w:t>
      </w:r>
      <w:r w:rsidRPr="00B82FD3">
        <w:rPr>
          <w:rFonts w:ascii="Times New Roman" w:hAnsi="Times New Roman"/>
          <w:sz w:val="28"/>
          <w:szCs w:val="28"/>
          <w:lang w:eastAsia="ru-RU"/>
        </w:rPr>
        <w:t xml:space="preserve"> консолидированного бюджета муниципального района «</w:t>
      </w:r>
      <w:proofErr w:type="spellStart"/>
      <w:r w:rsidRPr="00B82FD3">
        <w:rPr>
          <w:rFonts w:ascii="Times New Roman" w:hAnsi="Times New Roman"/>
          <w:sz w:val="28"/>
          <w:szCs w:val="28"/>
          <w:lang w:eastAsia="ru-RU"/>
        </w:rPr>
        <w:t>Кызылский</w:t>
      </w:r>
      <w:proofErr w:type="spellEnd"/>
      <w:r w:rsidRPr="00B82FD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hAnsi="Times New Roman"/>
          <w:sz w:val="28"/>
          <w:szCs w:val="28"/>
          <w:lang w:eastAsia="ru-RU"/>
        </w:rPr>
        <w:t>кожуун</w:t>
      </w:r>
      <w:proofErr w:type="spellEnd"/>
      <w:r w:rsidRPr="00B82FD3">
        <w:rPr>
          <w:rFonts w:ascii="Times New Roman" w:hAnsi="Times New Roman"/>
          <w:sz w:val="28"/>
          <w:szCs w:val="28"/>
          <w:lang w:eastAsia="ru-RU"/>
        </w:rPr>
        <w:t>» Республики Тыва</w:t>
      </w:r>
      <w:r w:rsidRPr="00B82FD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82FD3">
        <w:rPr>
          <w:rFonts w:ascii="Times New Roman" w:hAnsi="Times New Roman"/>
          <w:sz w:val="28"/>
          <w:szCs w:val="28"/>
          <w:lang w:eastAsia="ru-RU"/>
        </w:rPr>
        <w:t xml:space="preserve">выполнен на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102,2 </w:t>
      </w:r>
      <w:r w:rsidRPr="00B82FD3">
        <w:rPr>
          <w:rFonts w:ascii="Times New Roman" w:hAnsi="Times New Roman"/>
          <w:sz w:val="28"/>
          <w:szCs w:val="28"/>
          <w:lang w:eastAsia="ru-RU"/>
        </w:rPr>
        <w:t>%, т.е. при плане 159 694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2FD3">
        <w:rPr>
          <w:rFonts w:ascii="Times New Roman" w:hAnsi="Times New Roman"/>
          <w:sz w:val="28"/>
          <w:szCs w:val="28"/>
          <w:lang w:eastAsia="ru-RU"/>
        </w:rPr>
        <w:t xml:space="preserve">тыс. рублей поступило 163 167,1 тыс. рублей,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аналогичным периодом прошлого года обеспечен рост на 12 171,3 тыс. рублей или на 7,5 %. </w:t>
      </w:r>
    </w:p>
    <w:p w:rsidR="005F5E80" w:rsidRPr="00B82FD3" w:rsidRDefault="005F5E80" w:rsidP="005F5E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Крупными налогоплательщиками </w:t>
      </w:r>
      <w:proofErr w:type="spellStart"/>
      <w:r w:rsidRPr="00B82FD3">
        <w:rPr>
          <w:rFonts w:ascii="Times New Roman" w:eastAsia="Times New Roman" w:hAnsi="Times New Roman"/>
          <w:i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остаются:</w:t>
      </w:r>
    </w:p>
    <w:p w:rsidR="005F5E80" w:rsidRPr="00B82FD3" w:rsidRDefault="005F5E80" w:rsidP="005F5E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1. ООО «Тувинская горнорудная компания»;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2. ГБУЗ РТ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Кызылская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ЦКБ;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3. ММ ОВД РФ по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Кызылкому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кожууну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4. ГАУЗ РТ Санаторий – профилакторий Серебрянка;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5. ГАООО РТ Аграрный лицей им. Морозова П.А.;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6. Управление судебного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депертамента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в РТ;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7. ГУМРФ по делам ГО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ЧСиЛПСБ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РТ;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Прокуратура РТ по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Кызылскому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кожууну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5E80" w:rsidRPr="00B82FD3" w:rsidRDefault="005F5E80" w:rsidP="005F5E8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9. Муниципальные бюджетные учреждения (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Сукпакская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СОШ, СОШ № 1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Каа-Хем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, СОШ № 2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Каа-Хем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им. Т.Б. Куулар,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Усть-Элегестинская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СОШ, Целинная СОШ, МБДОУ Радуга).</w:t>
      </w:r>
    </w:p>
    <w:p w:rsidR="005F5E80" w:rsidRPr="00B82FD3" w:rsidRDefault="005F5E80" w:rsidP="005F5E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E80" w:rsidRPr="00B82FD3" w:rsidRDefault="005F5E80" w:rsidP="005F5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Налоговые доходы</w:t>
      </w:r>
    </w:p>
    <w:p w:rsidR="005F5E80" w:rsidRPr="00B82FD3" w:rsidRDefault="005F5E80" w:rsidP="005F5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bscript"/>
          <w:lang w:eastAsia="ru-RU"/>
        </w:rPr>
      </w:pP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Налоговые доходы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6 месяцев в бюджет муниципального района «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Кызылский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» Республики Тыва поступили в сумме 142 825,8 тыс. рублей, или 104,2 % к плану отчетного периода. В структуре собственных доходов бюджета муниципального района «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Кызылский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» Республики Тыва доля налоговых доходов составил 0,88 %, неналоговые доходы 0,12 %. 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Основная часть налоговых доходов бюджета обеспечена поступлениями налога на доходы физических лиц (50 %), госпошлины (11 %), налога, взимаемого в связи с применением упрощенной системы налогообложения (15 %), налога на имущество организаций (4 %).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аналогичным периодом прошлого года произошло увеличение поступлений налоговых доходов на 26 627,8 тыс. рублей, или на 18,6 %, в том числе прирост обеспечен на более одного миллиона рублей по следующим налоговым доходам: 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госпошлины 14350,8 тыс. рублей, или на 78,5 % больше;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налога на доходы физических лиц 2 304,4 тыс. рублей, или 2,8 %;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налога, взимаемого в связи с применением упрощенной системы налогообложения 8 725,4 тыс. рублей, или 29,1 %;  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земельный налог с организаций 1 123,5 тыс. рублей, или на 69,6 %. </w:t>
      </w:r>
    </w:p>
    <w:p w:rsidR="005F5E80" w:rsidRPr="00B82FD3" w:rsidRDefault="005F5E80" w:rsidP="005F5E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Плановые назначения налоговых доходов бюджета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6 месяцев 2025 года по всем источникам доходов выполнены кроме налога на имущество физических лиц и земельного налога с физических лиц.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hAnsi="Times New Roman"/>
          <w:b/>
          <w:sz w:val="28"/>
          <w:szCs w:val="28"/>
        </w:rPr>
        <w:t xml:space="preserve">- налог на доходы физических лиц </w:t>
      </w:r>
      <w:r w:rsidRPr="00B82FD3">
        <w:rPr>
          <w:rFonts w:ascii="Times New Roman" w:hAnsi="Times New Roman"/>
          <w:sz w:val="28"/>
          <w:szCs w:val="28"/>
        </w:rPr>
        <w:t>поступил в сумме 81 140,4 тыс. рублей при плановых назначениях 81 106,0 тыс. рублей, или 100 % к плану (+ 34,4 тыс. рублей), по сравнению с аналогичным периодом прошлого года рост поступлений на 2 304,4 тыс. рублей (2,8 %). Рост в связи с повышением МРОТ в РФ с 1 января 2025 года на 17 %;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9"/>
          <w:sz w:val="28"/>
          <w:szCs w:val="28"/>
          <w:lang w:eastAsia="ru-RU"/>
        </w:rPr>
      </w:pPr>
      <w:r w:rsidRPr="00B82FD3">
        <w:rPr>
          <w:rFonts w:ascii="Times New Roman" w:hAnsi="Times New Roman"/>
          <w:sz w:val="28"/>
          <w:szCs w:val="28"/>
        </w:rPr>
        <w:t xml:space="preserve"> </w:t>
      </w:r>
      <w:r w:rsidRPr="00B82FD3">
        <w:rPr>
          <w:rFonts w:ascii="Times New Roman" w:hAnsi="Times New Roman"/>
          <w:b/>
          <w:sz w:val="28"/>
          <w:szCs w:val="28"/>
        </w:rPr>
        <w:t>- доходы от акцизов на нефтепродукты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поступили</w:t>
      </w:r>
      <w:r w:rsidRPr="00B82FD3">
        <w:rPr>
          <w:rFonts w:ascii="Times New Roman" w:hAnsi="Times New Roman"/>
          <w:sz w:val="28"/>
          <w:szCs w:val="28"/>
        </w:rPr>
        <w:t xml:space="preserve"> в сумме 3 462 тыс. рублей при плане 3 461 тыс. рублей, или 100 % (+1 тыс. рублей), поступление по сравнению с аналогичным периодом прошлого года меньше на 291,5 тыс. рублей или 8,4 %.</w:t>
      </w:r>
      <w:r w:rsidRPr="00B82FD3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 По данному источнику поступления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распределение между уровнями бюджета осуществляется администратором дохода в зависимости срока поступления данного источника.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hAnsi="Times New Roman"/>
          <w:b/>
          <w:sz w:val="28"/>
          <w:szCs w:val="28"/>
        </w:rPr>
        <w:t>- налогу, взимаемому в связи с применением упрощенной системы налогообложения:</w:t>
      </w:r>
      <w:r w:rsidRPr="00B82FD3">
        <w:rPr>
          <w:rFonts w:ascii="Times New Roman" w:hAnsi="Times New Roman"/>
          <w:sz w:val="28"/>
          <w:szCs w:val="28"/>
        </w:rPr>
        <w:t xml:space="preserve"> поступил в бюджет 24 494,3 тыс. рублей при плановых назначениях 24 494 тыс. рублей, или на 100 %, по сравнению с АППГ наблюдается увеличение на 30,6 % или (+ 7 498,4 тыс. рублей</w:t>
      </w:r>
      <w:r w:rsidRPr="00B82FD3">
        <w:rPr>
          <w:rFonts w:ascii="Times New Roman" w:hAnsi="Times New Roman"/>
          <w:b/>
          <w:sz w:val="28"/>
          <w:szCs w:val="28"/>
        </w:rPr>
        <w:t xml:space="preserve">), </w:t>
      </w:r>
      <w:r w:rsidRPr="00B82FD3">
        <w:rPr>
          <w:rFonts w:ascii="Times New Roman" w:hAnsi="Times New Roman"/>
          <w:sz w:val="28"/>
          <w:szCs w:val="28"/>
        </w:rPr>
        <w:t>рост и перевыполнение</w:t>
      </w:r>
      <w:r w:rsidRPr="00B82FD3">
        <w:rPr>
          <w:rFonts w:ascii="Times New Roman" w:hAnsi="Times New Roman"/>
          <w:b/>
          <w:sz w:val="28"/>
          <w:szCs w:val="28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 связано с вперед уплаченными авансовыми платежами налогоплательщиков.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hAnsi="Times New Roman"/>
          <w:sz w:val="28"/>
          <w:szCs w:val="28"/>
        </w:rPr>
        <w:t xml:space="preserve">- по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единому налогу на вмененный доход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- поступило 62,6 тыс. рублей задолженность прошлых лет. По данному виду налога план на 2025 год не предусмотрен в связи отменной с 2021 г.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по единому сельскохозяйственному налогу </w:t>
      </w:r>
      <w:r w:rsidRPr="00B82FD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- </w:t>
      </w:r>
      <w:r w:rsidRPr="00B82FD3">
        <w:rPr>
          <w:rFonts w:ascii="Times New Roman" w:hAnsi="Times New Roman"/>
          <w:b/>
          <w:sz w:val="28"/>
          <w:szCs w:val="28"/>
        </w:rPr>
        <w:t>п</w:t>
      </w:r>
      <w:r w:rsidRPr="00B82FD3">
        <w:rPr>
          <w:rFonts w:ascii="Times New Roman" w:hAnsi="Times New Roman"/>
          <w:sz w:val="28"/>
          <w:szCs w:val="28"/>
        </w:rPr>
        <w:t>оступило 2 080,8 тыс. рублей при плане 1 948 тыс. рублей или 106,8 % (+ 132,8 тыс. рублей).  По сравнению с аналогичным периодом прошлого года больше на 1 098,2                              тыс. рублей.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динамику поступления данного налога в отчетном периоде оказало влияние представление налогоплательщиками уточненных налоговых деклараций</w:t>
      </w:r>
      <w:r w:rsidRPr="00B82FD3">
        <w:rPr>
          <w:rFonts w:ascii="Times New Roman" w:hAnsi="Times New Roman"/>
          <w:sz w:val="28"/>
          <w:szCs w:val="28"/>
        </w:rPr>
        <w:t>.</w:t>
      </w:r>
      <w:r w:rsidRPr="00B82FD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- </w:t>
      </w:r>
      <w:r w:rsidRPr="00B82FD3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налогу, взимаемому в связи с применением патентной системы налогообложения:</w:t>
      </w:r>
      <w:r w:rsidRPr="00B82FD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налог, поступил в бюджет в сумме 3 344,4 тыс. рублей при плане 3 344 тыс. рублей или 100 % (+ 0,4 тыс. рублей). По сравнению с аналогичным периодом прошлого года на 109,1 тыс. рублей больше, или                             на 3,3 %, в связи с увеличением количества выданных патентов на 56 единиц.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по налогу на имущество физических лиц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B82FD3">
        <w:rPr>
          <w:rFonts w:ascii="Times New Roman" w:hAnsi="Times New Roman"/>
          <w:b/>
          <w:sz w:val="28"/>
          <w:szCs w:val="28"/>
        </w:rPr>
        <w:t>п</w:t>
      </w:r>
      <w:r w:rsidRPr="00B82FD3">
        <w:rPr>
          <w:rFonts w:ascii="Times New Roman" w:hAnsi="Times New Roman"/>
          <w:sz w:val="28"/>
          <w:szCs w:val="28"/>
        </w:rPr>
        <w:t>оступило 443,4 тыс. рублей при плане 543 тыс. рублей или 81,7 % (-99,6 тыс. рублей), что поступление по сравнению с аналогичным периодом прошлого   года меньше на 73,7 тыс. рублей. Неисполнение</w:t>
      </w:r>
      <w:r w:rsidRPr="00B82FD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 связи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с низкой собираемости по крупному муниципальному образованию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Каа-Хем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Учитывая то, что сроки уплаты данных налогов в отношении физических лиц в соответствии с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Налоговым кодексом Российской Федерации 1 декабря текущего года (как и в прошлом году), в настоящее время поступает только недоимка по налогам</w:t>
      </w:r>
      <w:r w:rsidRPr="00B82FD3">
        <w:rPr>
          <w:rFonts w:ascii="Times New Roman" w:hAnsi="Times New Roman"/>
          <w:sz w:val="28"/>
          <w:szCs w:val="28"/>
        </w:rPr>
        <w:t>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налога на имущество организаций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2FD3">
        <w:rPr>
          <w:rFonts w:ascii="Times New Roman" w:hAnsi="Times New Roman"/>
          <w:sz w:val="28"/>
          <w:szCs w:val="28"/>
        </w:rPr>
        <w:t xml:space="preserve">поступило 6 816,1 тыс. рублей при плане 7 663 тыс. рублей или 88,9 % (-846,9 тыс. рублей), что поступление по сравнению с аналогичным периодом прошлого года больше на 311,3 тыс. рублей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или на 4,6 %. На динамику поступления данного налога в отчетном периоде оказало влияние представление налогоплательщиками уточненных налоговых деклараций</w:t>
      </w:r>
      <w:r w:rsidRPr="00B82FD3">
        <w:rPr>
          <w:rFonts w:ascii="Times New Roman" w:hAnsi="Times New Roman"/>
          <w:sz w:val="28"/>
          <w:szCs w:val="28"/>
        </w:rPr>
        <w:t>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hAnsi="Times New Roman"/>
          <w:sz w:val="28"/>
          <w:szCs w:val="28"/>
        </w:rPr>
        <w:t xml:space="preserve">- по </w:t>
      </w:r>
      <w:r w:rsidRPr="00B82FD3">
        <w:rPr>
          <w:rFonts w:ascii="Times New Roman" w:hAnsi="Times New Roman"/>
          <w:b/>
          <w:sz w:val="28"/>
          <w:szCs w:val="28"/>
        </w:rPr>
        <w:t>земельному налогу с организаций</w:t>
      </w:r>
      <w:r w:rsidRPr="00B82FD3">
        <w:rPr>
          <w:rFonts w:ascii="Times New Roman" w:hAnsi="Times New Roman"/>
          <w:sz w:val="28"/>
          <w:szCs w:val="28"/>
        </w:rPr>
        <w:t xml:space="preserve"> поступили 1 613,1 тыс. рублей при плане 1 554 тыс. рублей, или 103,8 % (+59,1 тыс. рублей). По сравнению с аналогичным периодом прошлого года больше на 1123,5 тыс. рублей больше, или на 69,6 %,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 и перевыполнение в связи увеличением налоговой базы на 6 единиц</w:t>
      </w:r>
      <w:r w:rsidRPr="00B82FD3">
        <w:rPr>
          <w:rFonts w:ascii="Times New Roman" w:hAnsi="Times New Roman"/>
          <w:sz w:val="28"/>
          <w:szCs w:val="28"/>
        </w:rPr>
        <w:t>, учтенных на базе данных налоговых органов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земельному налогу физических лиц</w:t>
      </w:r>
      <w:r w:rsidRPr="00B82FD3">
        <w:rPr>
          <w:rFonts w:ascii="Times New Roman" w:hAnsi="Times New Roman"/>
          <w:b/>
          <w:sz w:val="28"/>
          <w:szCs w:val="28"/>
        </w:rPr>
        <w:t xml:space="preserve"> </w:t>
      </w:r>
      <w:r w:rsidRPr="00B82FD3">
        <w:rPr>
          <w:rFonts w:ascii="Times New Roman" w:hAnsi="Times New Roman"/>
          <w:sz w:val="28"/>
          <w:szCs w:val="28"/>
        </w:rPr>
        <w:t xml:space="preserve">поступили 1 094,4 тыс. рублей при плане 1 274 тыс. рублей, или 85,9 % (-179,6 тыс. рублей). По сравнению с аналогичным периодом прошлого года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рост доходов на 177,6 тыс. рублей, или на 16,2 %. Учитывая то, что сроки уплаты данных налогов в отношении физических лиц в соответствии с Налоговым кодексом Российской Федерации 1 декабря текущего года (как и в прошлом году), в настоящее время поступает только недоимка по налогам.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госпошлине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B82FD3">
        <w:rPr>
          <w:rFonts w:ascii="Times New Roman" w:hAnsi="Times New Roman"/>
          <w:sz w:val="28"/>
          <w:szCs w:val="28"/>
        </w:rPr>
        <w:t xml:space="preserve">оступили 18 274,3 тыс. рублей при плановых назначениях 11 725 тыс. рублей, или 155,9 % (+6 549,3 тыс. рублей).  По сравнению с аналогичным периодом прошлого года доходы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14 350,8 тыс. рублей больше, или 78,9 % </w:t>
      </w:r>
      <w:r w:rsidRPr="00B82FD3">
        <w:rPr>
          <w:rFonts w:ascii="Times New Roman" w:hAnsi="Times New Roman"/>
          <w:sz w:val="28"/>
          <w:szCs w:val="28"/>
        </w:rPr>
        <w:t>в связи с повышением размеров государственной пошлины за обращение в суд и за счет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увеличения количества подаваемых заявлений по делам, рассматриваемым судами общей юрисдикции, Мировыми судьями.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E80" w:rsidRPr="00B82FD3" w:rsidRDefault="005F5E80" w:rsidP="005F5E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Неналоговые доходы</w:t>
      </w:r>
    </w:p>
    <w:p w:rsidR="005F5E80" w:rsidRPr="00B82FD3" w:rsidRDefault="005F5E80" w:rsidP="005F5E8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hAnsi="Times New Roman"/>
          <w:sz w:val="28"/>
          <w:szCs w:val="28"/>
        </w:rPr>
        <w:t xml:space="preserve">Неналоговые доходы за январь-июнь месяцы в бюджет </w:t>
      </w:r>
      <w:proofErr w:type="spellStart"/>
      <w:r w:rsidRPr="00B82FD3">
        <w:rPr>
          <w:rFonts w:ascii="Times New Roman" w:hAnsi="Times New Roman"/>
          <w:sz w:val="28"/>
          <w:szCs w:val="28"/>
        </w:rPr>
        <w:t>кожууна</w:t>
      </w:r>
      <w:proofErr w:type="spellEnd"/>
      <w:r w:rsidRPr="00B82FD3">
        <w:rPr>
          <w:rFonts w:ascii="Times New Roman" w:hAnsi="Times New Roman"/>
          <w:sz w:val="28"/>
          <w:szCs w:val="28"/>
        </w:rPr>
        <w:t xml:space="preserve"> поступили в сумме 20 341,3 тыс. рублей при плановых назначениях 22582 тыс. рублей, или 90,1 % к плану. 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hAnsi="Times New Roman"/>
          <w:sz w:val="28"/>
          <w:szCs w:val="28"/>
        </w:rPr>
        <w:t>К уровню 2024 года в целом произошло снижение поступлений всего на -14 456,5 тыс. рублей или на 71,1 %.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hAnsi="Times New Roman"/>
          <w:sz w:val="28"/>
          <w:szCs w:val="28"/>
        </w:rPr>
        <w:t>План выполнен по следующим доходам: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hAnsi="Times New Roman"/>
          <w:sz w:val="28"/>
          <w:szCs w:val="28"/>
        </w:rPr>
        <w:t xml:space="preserve">- аренда земли: поступило в бюджет </w:t>
      </w:r>
      <w:proofErr w:type="spellStart"/>
      <w:r w:rsidRPr="00B82FD3">
        <w:rPr>
          <w:rFonts w:ascii="Times New Roman" w:hAnsi="Times New Roman"/>
          <w:sz w:val="28"/>
          <w:szCs w:val="28"/>
        </w:rPr>
        <w:t>кожууна</w:t>
      </w:r>
      <w:proofErr w:type="spellEnd"/>
      <w:r w:rsidRPr="00B82FD3">
        <w:rPr>
          <w:rFonts w:ascii="Times New Roman" w:hAnsi="Times New Roman"/>
          <w:sz w:val="28"/>
          <w:szCs w:val="28"/>
        </w:rPr>
        <w:t xml:space="preserve"> 16 919,9 тыс. рублей при плане 16 897 тыс. рублей, или 100,1 % (+22,9 тыс. рублей).  По сравнению с аналогичным периодом прошлого года поступление меньше на 9 673,2 тыс. рублей, или на 57,2 %. В аналогичном периоде был проведен внеплановый аукцион.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штрафные санкции, возмещение ущерба: плановые назначения выполнены на 106,9 %, а к аналогичному периоду прошлого года поступление возросло на 33,4 % за счет </w:t>
      </w:r>
      <w:r w:rsidRPr="00B82FD3">
        <w:rPr>
          <w:rFonts w:ascii="Times New Roman" w:hAnsi="Times New Roman"/>
          <w:sz w:val="28"/>
          <w:szCs w:val="28"/>
        </w:rPr>
        <w:t>платежей по возмещению подсудимыми гражданами материального ущерба по уголовным делам.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hAnsi="Times New Roman"/>
          <w:sz w:val="28"/>
          <w:szCs w:val="28"/>
        </w:rPr>
        <w:lastRenderedPageBreak/>
        <w:t xml:space="preserve">- по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прочим неналоговым доходам производились уточнения невыясненных поступлений. План 148 тыс. рублей, факт 393,7 тыс. рублей.</w:t>
      </w:r>
    </w:p>
    <w:p w:rsidR="005F5E80" w:rsidRPr="00B82FD3" w:rsidRDefault="005F5E80" w:rsidP="005F5E80">
      <w:pPr>
        <w:tabs>
          <w:tab w:val="left" w:pos="78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B82FD3">
        <w:rPr>
          <w:rFonts w:ascii="Times New Roman" w:hAnsi="Times New Roman"/>
          <w:sz w:val="28"/>
          <w:szCs w:val="28"/>
          <w:vertAlign w:val="subscript"/>
        </w:rPr>
        <w:tab/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Не обеспечено выполнение плана по следующим источникам: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hAnsi="Times New Roman"/>
          <w:b/>
          <w:sz w:val="28"/>
          <w:szCs w:val="28"/>
        </w:rPr>
        <w:t xml:space="preserve">- </w:t>
      </w:r>
      <w:r w:rsidRPr="00B82FD3">
        <w:rPr>
          <w:rFonts w:ascii="Times New Roman" w:hAnsi="Times New Roman"/>
          <w:sz w:val="28"/>
          <w:szCs w:val="28"/>
        </w:rPr>
        <w:t>по аренде имущества при плане 774 тыс. рублей</w:t>
      </w:r>
      <w:r w:rsidRPr="00B82FD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 бюджет поступили                    32,6 тыс. рублей, </w:t>
      </w:r>
      <w:r w:rsidRPr="00B82FD3">
        <w:rPr>
          <w:rFonts w:ascii="Times New Roman" w:hAnsi="Times New Roman"/>
          <w:sz w:val="28"/>
          <w:szCs w:val="28"/>
        </w:rPr>
        <w:t xml:space="preserve">или 4,2 % (-741,4 тыс. рублей), из-за текучести кадров земельного отдела договора с арендаторами помещения заключены не вовремя и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поступление доходов ожидается в Ш квартале текущего года.</w:t>
      </w:r>
    </w:p>
    <w:p w:rsidR="005F5E80" w:rsidRPr="00B82FD3" w:rsidRDefault="005F5E80" w:rsidP="005F5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доходы от оказания платных услуг и компенсация затрат государства п</w:t>
      </w:r>
      <w:r w:rsidRPr="00B82FD3">
        <w:rPr>
          <w:rFonts w:ascii="Times New Roman" w:hAnsi="Times New Roman"/>
          <w:sz w:val="28"/>
          <w:szCs w:val="28"/>
        </w:rPr>
        <w:t xml:space="preserve">оступили в бюджет в сумме 69,1 тыс. рублей при плане 187 тыс. рублей или                       37 %, что по сравнению с аналогичным периодом прошлого года меньше на 67,7 тыс. рублей. Неисполнение плановых назначений связано с отсутствием должного контроля со стороны председателей </w:t>
      </w:r>
      <w:proofErr w:type="spellStart"/>
      <w:r w:rsidRPr="00B82FD3">
        <w:rPr>
          <w:rFonts w:ascii="Times New Roman" w:hAnsi="Times New Roman"/>
          <w:sz w:val="28"/>
          <w:szCs w:val="28"/>
        </w:rPr>
        <w:t>сумонных</w:t>
      </w:r>
      <w:proofErr w:type="spellEnd"/>
      <w:r w:rsidRPr="00B82FD3">
        <w:rPr>
          <w:rFonts w:ascii="Times New Roman" w:hAnsi="Times New Roman"/>
          <w:sz w:val="28"/>
          <w:szCs w:val="28"/>
        </w:rPr>
        <w:t xml:space="preserve"> администраций за выполнением плана собственных доходов бюджета поселения.</w:t>
      </w:r>
    </w:p>
    <w:p w:rsidR="005F5E80" w:rsidRPr="00B82FD3" w:rsidRDefault="005F5E80" w:rsidP="005F5E80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доходы от продажи земельных участков поступили в сумме 2 382,3 тыс. рублей при плане 4007 тыс. рублей, или 59,5 %. </w:t>
      </w:r>
      <w:r w:rsidRPr="00B82FD3">
        <w:rPr>
          <w:rFonts w:ascii="Times New Roman" w:hAnsi="Times New Roman"/>
          <w:sz w:val="28"/>
          <w:szCs w:val="28"/>
        </w:rPr>
        <w:t>К уровню 2024 года в целом произошло снижение поступлений на 5447,4 тыс. рублей, или на 228,7 %.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Снижение поступлений по данному виду дохода обусловлено осуществлением в текущем отчетном периоде возвратов поступивших в бюджет 2024 года сумм в текущем отчетном периоде из-за не состоявшейся регистрации в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Россреестре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8 земельных участков, а также сокращением количества продаваемых земельных участков на территории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5E80" w:rsidRPr="00B82FD3" w:rsidRDefault="005F5E80" w:rsidP="005F5E80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B3" w:rsidRPr="00B82FD3" w:rsidRDefault="008613B3" w:rsidP="005F5E80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2. Расходы бюджета</w:t>
      </w:r>
    </w:p>
    <w:p w:rsidR="008613B3" w:rsidRPr="00B82FD3" w:rsidRDefault="008613B3" w:rsidP="008613B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3B3" w:rsidRPr="00B82FD3" w:rsidRDefault="008613B3" w:rsidP="008613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5F5E80" w:rsidRPr="00B82F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2CA1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966BA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консолидированный бюджет муниципального района «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Кызылский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» РТ исполнен по расходам </w:t>
      </w:r>
      <w:r w:rsidR="00AB2D9E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1 223 296,8</w:t>
      </w:r>
      <w:r w:rsidR="005F5E80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плане </w:t>
      </w:r>
      <w:r w:rsidR="00AB2D9E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2 213 518,8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или </w:t>
      </w:r>
      <w:r w:rsidR="00AB2D9E" w:rsidRPr="00B82FD3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B2D9E" w:rsidRPr="00B82F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 к годовому плану.</w:t>
      </w:r>
    </w:p>
    <w:p w:rsidR="007E0793" w:rsidRPr="00B82FD3" w:rsidRDefault="008613B3" w:rsidP="00A07D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кожуунного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4F6DCC" w:rsidRPr="00B82F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D4F4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</w:t>
      </w:r>
      <w:r w:rsidR="00DD073F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D4F4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составили </w:t>
      </w:r>
      <w:r w:rsidR="006539F6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1 198 380,4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при годовом плане </w:t>
      </w:r>
      <w:r w:rsidR="006539F6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2 139 605,8</w:t>
      </w:r>
      <w:r w:rsidR="005A087D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или на </w:t>
      </w:r>
      <w:r w:rsidR="006539F6" w:rsidRPr="00B82FD3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 к плану.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финансирование фонда оплаты труда работников муниципальных учреждений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направлена </w:t>
      </w:r>
      <w:r w:rsidR="0047501B" w:rsidRPr="00B82FD3">
        <w:rPr>
          <w:rFonts w:ascii="Times New Roman" w:eastAsia="Times New Roman" w:hAnsi="Times New Roman"/>
          <w:sz w:val="28"/>
          <w:szCs w:val="28"/>
          <w:lang w:eastAsia="ru-RU"/>
        </w:rPr>
        <w:t>960 010,4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или 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B70890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% к общим расходам за </w:t>
      </w:r>
      <w:r w:rsidR="0047501B" w:rsidRPr="00B82F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2CA1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E2CA1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C0422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 01 «Общегосударственные вопросы»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направлены финансовые средства в сумме </w:t>
      </w:r>
      <w:r w:rsidR="006539F6" w:rsidRPr="00B82FD3">
        <w:rPr>
          <w:rFonts w:ascii="Times New Roman" w:eastAsia="Times New Roman" w:hAnsi="Times New Roman"/>
          <w:sz w:val="28"/>
          <w:szCs w:val="28"/>
          <w:lang w:eastAsia="ru-RU"/>
        </w:rPr>
        <w:t>107 030,4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при годовых плановых назначениях </w:t>
      </w:r>
      <w:r w:rsidR="006539F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63 020,1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6539F6" w:rsidRPr="00B82FD3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539F6" w:rsidRPr="00B82FD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по 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разделу 02 «Национальная оборона»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- осуществление первичного воинского учета на территориях, где отсутствуют военные комиссариаты, исполнены в сумме </w:t>
      </w:r>
      <w:r w:rsidR="006539F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1 374,7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годовом плане 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037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F80576" w:rsidRPr="00B82FD3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80576" w:rsidRPr="00B82F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%). 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разделу 03 «Национальная безопасность и правоохранительная деятельность»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составили сумму </w:t>
      </w:r>
      <w:r w:rsidR="00F8057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1 983,3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годовом плане </w:t>
      </w:r>
      <w:r w:rsidR="00F8057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4 570,0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F80576" w:rsidRPr="00B82FD3">
        <w:rPr>
          <w:rFonts w:ascii="Times New Roman" w:eastAsia="Times New Roman" w:hAnsi="Times New Roman"/>
          <w:sz w:val="28"/>
          <w:szCs w:val="28"/>
          <w:lang w:eastAsia="ru-RU"/>
        </w:rPr>
        <w:t>43,4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%), в том числе исполнены расходы на: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 аппарата ЕДДС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80576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1 765,6 </w:t>
      </w:r>
      <w:r w:rsidR="00F80576"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F80576" w:rsidRPr="00B82FD3" w:rsidRDefault="00F80576" w:rsidP="00F805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реализацию муниципальной программы «Обеспечение общественного порядка и противодействие преступности в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Кызылском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кожууне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2024-2026 гг.» - 122,8 тыс. рублей, из них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приобретение канц. товаров – 30,0 тыс. рублей, приобретение ГСМ 74,8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рублей,</w:t>
      </w:r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приобретение сигнальных светоотражающих жилетов 18,0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F80576" w:rsidRPr="00B82FD3" w:rsidRDefault="00F80576" w:rsidP="009F2F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оказание услуг по транспортировке тел умерших – 94,9 тыс. рублей</w:t>
      </w:r>
    </w:p>
    <w:p w:rsidR="008613B3" w:rsidRPr="00B82FD3" w:rsidRDefault="008613B3" w:rsidP="00F805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разделе 04 «Национальная экономика»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включая расходы Дорожного фонда исполнение составило сумму </w:t>
      </w:r>
      <w:r w:rsidR="005431B0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68 055,4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годовом плане </w:t>
      </w:r>
      <w:r w:rsidR="005431B0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86 678,6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5431B0" w:rsidRPr="00B82FD3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0F90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%). В данном разделе произведены расходы на: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 аппарата управления сельского хозяйства – </w:t>
      </w:r>
      <w:r w:rsidR="00BD1EB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1 871,9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дорожное хозяйство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="0063367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56 961,7 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материально-техническое обслуживание администрации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(техперсонал) – </w:t>
      </w:r>
      <w:r w:rsidR="00BD1EB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6 335,8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числе: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на реализацию муниципальной программы «</w:t>
      </w:r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сельского хозяйства и расширение рынка сельскохозяйственной продукции в </w:t>
      </w:r>
      <w:proofErr w:type="spellStart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Кызылском</w:t>
      </w:r>
      <w:proofErr w:type="spellEnd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кожууне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» - 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приобретение семян овощных культур в виде «</w:t>
      </w:r>
      <w:proofErr w:type="spellStart"/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>борщевого</w:t>
      </w:r>
      <w:proofErr w:type="spellEnd"/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набора»</w:t>
      </w:r>
      <w:r w:rsidR="00C04223" w:rsidRPr="00B82F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35C2" w:rsidRPr="00B82FD3" w:rsidRDefault="008B35C2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а электромонтажные работы уличного освещения в </w:t>
      </w:r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сельских поселениях 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2 526,0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в с. 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Сукпак</w:t>
      </w:r>
      <w:proofErr w:type="spellEnd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853,5 тыс. рублей, в с. 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Черби</w:t>
      </w:r>
      <w:proofErr w:type="spellEnd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371,1 тыс. рублей, в с. Кара-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Хаак</w:t>
      </w:r>
      <w:proofErr w:type="spellEnd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524,6 тыс. рублей, в с. 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Шамбалыг</w:t>
      </w:r>
      <w:proofErr w:type="spellEnd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99,6 тыс. рублей, в 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>Каа-хем</w:t>
      </w:r>
      <w:proofErr w:type="spellEnd"/>
      <w:r w:rsidR="00E9304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177,2 тыс. рублей.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за выполнение межевого плана земельного участка в с. </w:t>
      </w:r>
      <w:proofErr w:type="spellStart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Сукпак</w:t>
      </w:r>
      <w:proofErr w:type="spellEnd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мкрн</w:t>
      </w:r>
      <w:proofErr w:type="spellEnd"/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. Юбилейный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8B35C2" w:rsidRPr="00B82FD3">
        <w:rPr>
          <w:rFonts w:ascii="Times New Roman" w:eastAsia="Times New Roman" w:hAnsi="Times New Roman"/>
          <w:sz w:val="28"/>
          <w:szCs w:val="28"/>
          <w:lang w:eastAsia="ru-RU"/>
        </w:rPr>
        <w:t>300,0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515C4B" w:rsidRPr="00B82FD3" w:rsidRDefault="008613B3" w:rsidP="00CC5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разделу 05 «Жилищно-коммунальное хозяйство»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составили </w:t>
      </w:r>
      <w:r w:rsidR="00056FD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2 873,1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годовых плановых назначениях </w:t>
      </w:r>
      <w:r w:rsidR="00056FD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12 075,8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>23,8</w:t>
      </w:r>
      <w:r w:rsidR="00AE23FC" w:rsidRPr="00B82FD3">
        <w:rPr>
          <w:rFonts w:ascii="Times New Roman" w:eastAsia="Times New Roman" w:hAnsi="Times New Roman"/>
          <w:sz w:val="28"/>
          <w:szCs w:val="28"/>
          <w:lang w:eastAsia="ru-RU"/>
        </w:rPr>
        <w:t>%),</w:t>
      </w:r>
      <w:r w:rsidR="00CC549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15C4B" w:rsidRPr="00B82FD3" w:rsidRDefault="00515C4B" w:rsidP="00CC5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на реализацию подпрограммы «Благоустройство сельских территорий» муниципальной программы "</w:t>
      </w:r>
      <w:r w:rsidRPr="00B82FD3">
        <w:rPr>
          <w:rFonts w:ascii="Times New Roman" w:hAnsi="Times New Roman"/>
          <w:sz w:val="28"/>
          <w:szCs w:val="28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Комплексное развитие сельских территорий " в виде субсидии местным бюджетам - 963,6 </w:t>
      </w:r>
      <w:r w:rsidR="00D54938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на устройство детской игровой площадки в с. </w:t>
      </w:r>
      <w:proofErr w:type="spellStart"/>
      <w:r w:rsidR="00D54938" w:rsidRPr="00B82FD3">
        <w:rPr>
          <w:rFonts w:ascii="Times New Roman" w:eastAsia="Times New Roman" w:hAnsi="Times New Roman"/>
          <w:sz w:val="28"/>
          <w:szCs w:val="28"/>
          <w:lang w:eastAsia="ru-RU"/>
        </w:rPr>
        <w:t>Сукпак</w:t>
      </w:r>
      <w:proofErr w:type="spellEnd"/>
    </w:p>
    <w:p w:rsidR="00515C4B" w:rsidRPr="00B82FD3" w:rsidRDefault="00515C4B" w:rsidP="00CC5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на реализацию подпрограммы «Водоснабжение» муниципальной программы " Жилищно-коммунальное хозяйство " – 29,1 тыс. рублей;</w:t>
      </w:r>
    </w:p>
    <w:p w:rsidR="00515C4B" w:rsidRPr="00B82FD3" w:rsidRDefault="00515C4B" w:rsidP="00CC5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на реализацию подпрограммы «Обеспечение пожарной безопасности, развитие и совершенствование системы оповещения населения МР «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Кызылский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» муниципальной программы " Жилищно-коммунальное хозяйство " – 382,4 тыс. рублей</w:t>
      </w:r>
    </w:p>
    <w:p w:rsidR="008613B3" w:rsidRPr="00B82FD3" w:rsidRDefault="00515C4B" w:rsidP="00CC5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9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уличное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освещение - 1 498,0 тыс. рублей.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общего объема расходов 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разделу 07 «Образование»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израсходованы </w:t>
      </w:r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>895 501,8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при годовых назначениях </w:t>
      </w:r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1 576 960,8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515C4B" w:rsidRPr="00B82FD3">
        <w:rPr>
          <w:rFonts w:ascii="Times New Roman" w:eastAsia="Times New Roman" w:hAnsi="Times New Roman"/>
          <w:sz w:val="28"/>
          <w:szCs w:val="28"/>
          <w:lang w:eastAsia="ru-RU"/>
        </w:rPr>
        <w:t>56,8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%), в том числе: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на содержание детских дошкольных учреждений направлены </w:t>
      </w:r>
      <w:r w:rsidR="00C2538F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279 230,3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плане </w:t>
      </w:r>
      <w:r w:rsidR="00C2538F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462 548,2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C2538F" w:rsidRPr="00B82FD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C2538F" w:rsidRPr="00B82FD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%); 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на общее образование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557 607,9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при плане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1 027 337,9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54,3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%); 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дополнительное образование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44 321,0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плане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57 231,7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 (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77,4</w:t>
      </w:r>
      <w:r w:rsidR="00AE23FC" w:rsidRPr="00B82FD3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731C5D" w:rsidRPr="00B82FD3" w:rsidRDefault="00731C5D" w:rsidP="00731C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молодежную политику (оздоровление детей) - 4 260,6 тыс. рублей при плане 11 435,0 тыс. рублей (37,3%); 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другие вопросы образования (содержание аппарата,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кдн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отдела опеки и попечительства,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мероприятий)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10 082,0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плане 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AE23FC" w:rsidRPr="00B82F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408</w:t>
      </w:r>
      <w:r w:rsidR="00AE23FC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54,8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0F6936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раздела 08 «Культура»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731C5D" w:rsidRPr="00B82F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составили общую сумму </w:t>
      </w:r>
      <w:r w:rsidR="00EB1ED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61 875,0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плане </w:t>
      </w:r>
      <w:r w:rsidR="00EB1EDB" w:rsidRPr="00B82FD3">
        <w:rPr>
          <w:rFonts w:ascii="Times New Roman" w:eastAsia="Times New Roman" w:hAnsi="Times New Roman"/>
          <w:sz w:val="28"/>
          <w:szCs w:val="28"/>
          <w:lang w:eastAsia="ru-RU"/>
        </w:rPr>
        <w:t>110 588,4 тыс.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EB1EDB" w:rsidRPr="00B82FD3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A07D07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%). </w:t>
      </w:r>
    </w:p>
    <w:p w:rsidR="008C7C4D" w:rsidRPr="00B82FD3" w:rsidRDefault="00A07D07" w:rsidP="00A07D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8C7C4D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разделу 09 «Здравоохранение» </w:t>
      </w:r>
      <w:r w:rsidR="008C7C4D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8C7C4D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подпрограммы «Поддержка системы здравоохранения </w:t>
      </w:r>
      <w:proofErr w:type="spellStart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 на 2024-2026 </w:t>
      </w:r>
      <w:proofErr w:type="spellStart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гг</w:t>
      </w:r>
      <w:proofErr w:type="spellEnd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» муниципальной программы "Социальная политика </w:t>
      </w:r>
      <w:proofErr w:type="spellStart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" профинансирована 227,7 тыс. рублей, из предусмотренных 500 тыс. рублей (45,9%).</w:t>
      </w:r>
    </w:p>
    <w:p w:rsidR="000F6936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10 раздел «Социальная политика»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направлены </w:t>
      </w:r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74 851,9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годовом плане </w:t>
      </w:r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177 844,6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8C7C4D" w:rsidRPr="00B82FD3">
        <w:rPr>
          <w:rFonts w:ascii="Times New Roman" w:eastAsia="Times New Roman" w:hAnsi="Times New Roman"/>
          <w:sz w:val="28"/>
          <w:szCs w:val="28"/>
          <w:lang w:eastAsia="ru-RU"/>
        </w:rPr>
        <w:t>42,1</w:t>
      </w:r>
      <w:r w:rsidR="000F6936" w:rsidRPr="00B82FD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На реализацию муниципальной программы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Кызылском</w:t>
      </w:r>
      <w:proofErr w:type="spellEnd"/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кожууне</w:t>
      </w:r>
      <w:proofErr w:type="spellEnd"/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разделу 11 «Физическая культура и спорт»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направлены </w:t>
      </w:r>
      <w:r w:rsidR="0036329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212,2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при годовом плане 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="000F6936" w:rsidRPr="00B82FD3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36329D" w:rsidRPr="00B82FD3">
        <w:rPr>
          <w:rFonts w:ascii="Times New Roman" w:eastAsia="Times New Roman" w:hAnsi="Times New Roman"/>
          <w:sz w:val="28"/>
          <w:szCs w:val="28"/>
          <w:lang w:eastAsia="ru-RU"/>
        </w:rPr>
        <w:t>42,4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Pr="00B82FD3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разделу 12 «Средства массовой информации»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израсходованы </w:t>
      </w:r>
      <w:r w:rsidR="00A566CD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741,1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на содержание газеты «Вести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» п</w:t>
      </w:r>
      <w:r w:rsidR="000F0025" w:rsidRPr="00B82FD3">
        <w:rPr>
          <w:rFonts w:ascii="Times New Roman" w:eastAsia="Times New Roman" w:hAnsi="Times New Roman"/>
          <w:sz w:val="28"/>
          <w:szCs w:val="28"/>
          <w:lang w:eastAsia="ru-RU"/>
        </w:rPr>
        <w:t>ри годовых плановых назначениях 1 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381</w:t>
      </w:r>
      <w:r w:rsidR="000F0025" w:rsidRPr="00B82FD3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A566CD" w:rsidRPr="00B82FD3">
        <w:rPr>
          <w:rFonts w:ascii="Times New Roman" w:eastAsia="Times New Roman" w:hAnsi="Times New Roman"/>
          <w:sz w:val="28"/>
          <w:szCs w:val="28"/>
          <w:lang w:eastAsia="ru-RU"/>
        </w:rPr>
        <w:t>53,7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423DAE" w:rsidRPr="00B82FD3" w:rsidRDefault="007E079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Таким образом, бюджет муниципального района имеет социальную направленность, наибольшую долю исполнения расходов приходится на реализацию муниципальных программ «</w:t>
      </w:r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образования </w:t>
      </w:r>
      <w:proofErr w:type="spellStart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2024-2026 гг.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» - </w:t>
      </w:r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>895 501,8 тыс. рублей (74,7 %) и «Развитие культуры и искусства на территории МР «</w:t>
      </w:r>
      <w:proofErr w:type="spellStart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Кызылский</w:t>
      </w:r>
      <w:proofErr w:type="spellEnd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>» на 2024-2026 гг.» - 61 875,0 тыс. рублей (5,2%)</w:t>
      </w:r>
      <w:r w:rsidR="00B82FD3" w:rsidRPr="00B82FD3">
        <w:rPr>
          <w:rFonts w:ascii="Times New Roman" w:eastAsia="Times New Roman" w:hAnsi="Times New Roman"/>
          <w:sz w:val="28"/>
          <w:szCs w:val="28"/>
          <w:lang w:eastAsia="ru-RU"/>
        </w:rPr>
        <w:t>, социальная политика 74 851,9 тыс. рублей (6,3%) от</w:t>
      </w:r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объема исполнения</w:t>
      </w:r>
      <w:r w:rsidR="00B82FD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="00423DAE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Исполнение программных расходов составило - 1 028 397,8 тыс. рублей </w:t>
      </w:r>
      <w:r w:rsidR="00B91819" w:rsidRPr="00B82FD3">
        <w:rPr>
          <w:rFonts w:ascii="Times New Roman" w:eastAsia="Times New Roman" w:hAnsi="Times New Roman"/>
          <w:sz w:val="28"/>
          <w:szCs w:val="28"/>
          <w:lang w:eastAsia="ru-RU"/>
        </w:rPr>
        <w:t>при годовом плане 1 778 017,8 тыс. рублей (57,8%).</w:t>
      </w:r>
    </w:p>
    <w:p w:rsidR="008613B3" w:rsidRPr="00B82FD3" w:rsidRDefault="00423DAE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Плановый объем </w:t>
      </w:r>
      <w:r w:rsidR="008613B3"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Резервного фонда</w:t>
      </w:r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консолидированного бюджета </w:t>
      </w:r>
      <w:proofErr w:type="spellStart"/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составляет в сумме 3 800,0 тыс. рублей. Фактические расходы за отчетный период составили сумму </w:t>
      </w:r>
      <w:r w:rsidR="00B444F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3 711,0 </w:t>
      </w:r>
      <w:r w:rsidR="008613B3"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рублей,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аренду</w:t>
      </w:r>
      <w:r w:rsidR="00B444F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автогрейдера и 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бульдозера на </w:t>
      </w:r>
      <w:proofErr w:type="spellStart"/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противопаводковые</w:t>
      </w:r>
      <w:proofErr w:type="spellEnd"/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на горе </w:t>
      </w:r>
      <w:proofErr w:type="spellStart"/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Хербис</w:t>
      </w:r>
      <w:proofErr w:type="spellEnd"/>
      <w:r w:rsidR="00B444F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– 599,0 тыс. рублей, на ремонт дамбы в с. Баян-Кол – 2 612,0 тыс. рублей, на приобретение ГСМ – 286,0 тыс. рублей, на приобретение ранцевого лесного огнетушителя и пожарных костюмов – 214, тыс. рублей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8613B3" w:rsidRPr="00B82FD3" w:rsidRDefault="008613B3" w:rsidP="00861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Бюджетные ассигнования 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Дорожного фонда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период, без учета федеральных и республиканских средств, были предусмотрены в сумме 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BC40FF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2126FB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336</w:t>
      </w:r>
      <w:r w:rsidR="00BC40FF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126FB" w:rsidRPr="00B82FD3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рублей, кассовое исполнение на 01.</w:t>
      </w:r>
      <w:r w:rsidR="00082B4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182705" w:rsidRPr="00B82FD3">
        <w:rPr>
          <w:rFonts w:ascii="Times New Roman" w:eastAsia="Times New Roman" w:hAnsi="Times New Roman"/>
          <w:sz w:val="28"/>
          <w:szCs w:val="28"/>
          <w:lang w:eastAsia="ru-RU"/>
        </w:rPr>
        <w:t>2 206,8</w:t>
      </w:r>
      <w:r w:rsidRPr="00B82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расходование средств бюджета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осуществлялось с учетом первоочередности и приоритетности расходов в пределах лимитов бюджетных обязатель</w:t>
      </w:r>
      <w:bookmarkStart w:id="0" w:name="_GoBack"/>
      <w:bookmarkEnd w:id="0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ств муниципальных бюджетных, автономных и казенных организаций. Выплата заработной платы работников бюджетной сферы, кроме работников бюджетных учреждений общего образования, а также расчеты за коммунальные услуги, финансирование социальных выплат обеспечены в полном объеме.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Поступившие за </w:t>
      </w:r>
      <w:r w:rsidR="00182705" w:rsidRPr="00B82FD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2CA1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</w:t>
      </w:r>
      <w:r w:rsidR="004E0C41" w:rsidRPr="00B82FD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E0C41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собственные доходы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3F2D05" w:rsidRPr="00B82FD3">
        <w:rPr>
          <w:rFonts w:ascii="Times New Roman" w:eastAsia="Times New Roman" w:hAnsi="Times New Roman"/>
          <w:sz w:val="28"/>
          <w:szCs w:val="28"/>
          <w:lang w:eastAsia="ru-RU"/>
        </w:rPr>
        <w:t>жуун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ного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в сумме </w:t>
      </w:r>
      <w:r w:rsidR="00205006" w:rsidRPr="00B82FD3">
        <w:rPr>
          <w:rFonts w:ascii="Times New Roman" w:eastAsia="Times New Roman" w:hAnsi="Times New Roman"/>
          <w:sz w:val="28"/>
          <w:szCs w:val="28"/>
          <w:lang w:eastAsia="ru-RU"/>
        </w:rPr>
        <w:t>154 375,8</w:t>
      </w:r>
      <w:r w:rsidR="003655AC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 </w:t>
      </w:r>
      <w:r w:rsidR="007D77CE" w:rsidRPr="00B82FD3">
        <w:rPr>
          <w:rFonts w:ascii="Times New Roman" w:eastAsia="Times New Roman" w:hAnsi="Times New Roman"/>
          <w:sz w:val="28"/>
          <w:szCs w:val="28"/>
          <w:lang w:eastAsia="ru-RU"/>
        </w:rPr>
        <w:t>(с</w:t>
      </w:r>
      <w:r w:rsidR="00205006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учетом переходящего остатка на 01.01.2024 г.) 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на следующие расходы муниципальных учреждений </w:t>
      </w:r>
      <w:proofErr w:type="spellStart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на: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заработная плата с начислениями – </w:t>
      </w:r>
      <w:r w:rsidR="007D77CE" w:rsidRPr="00B82FD3">
        <w:rPr>
          <w:rFonts w:ascii="Times New Roman" w:eastAsia="Times New Roman" w:hAnsi="Times New Roman"/>
          <w:sz w:val="28"/>
          <w:szCs w:val="28"/>
          <w:lang w:eastAsia="ru-RU"/>
        </w:rPr>
        <w:t>99 306,8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Резервный фонд – </w:t>
      </w:r>
      <w:r w:rsidR="00182705" w:rsidRPr="00B82FD3">
        <w:rPr>
          <w:rFonts w:ascii="Times New Roman" w:eastAsia="Times New Roman" w:hAnsi="Times New Roman"/>
          <w:sz w:val="28"/>
          <w:szCs w:val="28"/>
          <w:lang w:eastAsia="ru-RU"/>
        </w:rPr>
        <w:t>3 711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6FB" w:rsidRPr="00B82F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Дорожный фонд – </w:t>
      </w:r>
      <w:r w:rsidR="00182705" w:rsidRPr="00B82FD3">
        <w:rPr>
          <w:rFonts w:ascii="Times New Roman" w:eastAsia="Times New Roman" w:hAnsi="Times New Roman"/>
          <w:sz w:val="28"/>
          <w:szCs w:val="28"/>
          <w:lang w:eastAsia="ru-RU"/>
        </w:rPr>
        <w:t>2 206,8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уплата налогов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, пошлины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и сборов</w:t>
      </w:r>
      <w:r w:rsidR="00182705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штрафы и прочие –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1 787,6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суточные, проезд при служебных отпусках, оплата проезда к месту отпуска и обратно, суточные, компенсации депутатам –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804,4</w:t>
      </w:r>
      <w:r w:rsidR="005729B3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2D05" w:rsidRPr="00B82F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оплата услуг связи –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1 553,9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расходы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 – </w:t>
      </w:r>
      <w:r w:rsidR="00205006" w:rsidRPr="00B82FD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 206,8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работы, услуги по содержанию имущества – </w:t>
      </w:r>
      <w:r w:rsidR="00915929" w:rsidRPr="00B82FD3">
        <w:rPr>
          <w:rFonts w:ascii="Times New Roman" w:eastAsia="Times New Roman" w:hAnsi="Times New Roman"/>
          <w:sz w:val="28"/>
          <w:szCs w:val="28"/>
          <w:lang w:eastAsia="ru-RU"/>
        </w:rPr>
        <w:t>2 909,8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прочие работы, услуги – </w:t>
      </w:r>
      <w:r w:rsidR="00205006" w:rsidRPr="00B82FD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15929" w:rsidRPr="00B82FD3">
        <w:rPr>
          <w:rFonts w:ascii="Times New Roman" w:eastAsia="Times New Roman" w:hAnsi="Times New Roman"/>
          <w:sz w:val="28"/>
          <w:szCs w:val="28"/>
          <w:lang w:eastAsia="ru-RU"/>
        </w:rPr>
        <w:t> 262,7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финансовая помощь поселениям –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5 348,5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487F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приобретение оборудования и инвентаря (оргтехники, вычислительной техники, оборудования, мебели, учебных классов) –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1 866,1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- канцелярские товары, хозяйственные, строительные материалы, мягкий инвентарь, продукты питания, ГСМ, расходные материалы, медикаменты, запчасти – </w:t>
      </w:r>
      <w:r w:rsidR="00487F57" w:rsidRPr="00B82FD3">
        <w:rPr>
          <w:rFonts w:ascii="Times New Roman" w:eastAsia="Times New Roman" w:hAnsi="Times New Roman"/>
          <w:sz w:val="28"/>
          <w:szCs w:val="28"/>
          <w:lang w:eastAsia="ru-RU"/>
        </w:rPr>
        <w:t>11 049</w:t>
      </w:r>
      <w:r w:rsidR="003107A5" w:rsidRPr="00B82F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54358" w:rsidRPr="00B82FD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613B3" w:rsidRPr="00B82FD3" w:rsidRDefault="008613B3" w:rsidP="00487F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- опла</w:t>
      </w:r>
      <w:r w:rsidR="001E56A5" w:rsidRPr="00B82FD3">
        <w:rPr>
          <w:rFonts w:ascii="Times New Roman" w:eastAsia="Times New Roman" w:hAnsi="Times New Roman"/>
          <w:sz w:val="28"/>
          <w:szCs w:val="28"/>
          <w:lang w:eastAsia="ru-RU"/>
        </w:rPr>
        <w:t>та членских взносов АСМО за 202</w:t>
      </w:r>
      <w:r w:rsidR="005729B3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E0793"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– 150,0 тыс. рублей.</w:t>
      </w:r>
    </w:p>
    <w:p w:rsidR="008613B3" w:rsidRPr="00B82FD3" w:rsidRDefault="008613B3" w:rsidP="00861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Кредиторская задолженность по состоянию на 01.</w:t>
      </w:r>
      <w:r w:rsidR="00B91819" w:rsidRPr="00B82FD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729B3" w:rsidRPr="00B82F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заработной плате с начислениями работников бюджетной сферы составила </w:t>
      </w:r>
      <w:r w:rsidR="00B91819" w:rsidRPr="00B82FD3">
        <w:rPr>
          <w:rFonts w:ascii="Times New Roman" w:eastAsia="Times New Roman" w:hAnsi="Times New Roman"/>
          <w:sz w:val="28"/>
          <w:szCs w:val="28"/>
          <w:lang w:eastAsia="ru-RU"/>
        </w:rPr>
        <w:t>36 489,3</w:t>
      </w:r>
      <w:r w:rsidRPr="00B82FD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8613B3" w:rsidRPr="00B82FD3" w:rsidRDefault="008613B3" w:rsidP="00B36A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2C87" w:rsidRPr="00B82FD3" w:rsidRDefault="00022C87" w:rsidP="00B42B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9"/>
          <w:sz w:val="28"/>
          <w:szCs w:val="28"/>
        </w:rPr>
      </w:pPr>
    </w:p>
    <w:sectPr w:rsidR="00022C87" w:rsidRPr="00B82FD3" w:rsidSect="00D9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4D53"/>
    <w:multiLevelType w:val="hybridMultilevel"/>
    <w:tmpl w:val="527E43B0"/>
    <w:lvl w:ilvl="0" w:tplc="22A69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CB3DB7"/>
    <w:multiLevelType w:val="multilevel"/>
    <w:tmpl w:val="EF622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F2E4AC2"/>
    <w:multiLevelType w:val="hybridMultilevel"/>
    <w:tmpl w:val="72ACA54E"/>
    <w:lvl w:ilvl="0" w:tplc="D5A4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1776"/>
    <w:multiLevelType w:val="hybridMultilevel"/>
    <w:tmpl w:val="0B68EE86"/>
    <w:lvl w:ilvl="0" w:tplc="67F0D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242D5"/>
    <w:multiLevelType w:val="hybridMultilevel"/>
    <w:tmpl w:val="325C6998"/>
    <w:lvl w:ilvl="0" w:tplc="74787C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EF"/>
    <w:rsid w:val="00000068"/>
    <w:rsid w:val="000015BD"/>
    <w:rsid w:val="0000162F"/>
    <w:rsid w:val="000075B3"/>
    <w:rsid w:val="00016C83"/>
    <w:rsid w:val="00022C87"/>
    <w:rsid w:val="00026221"/>
    <w:rsid w:val="00031C52"/>
    <w:rsid w:val="00041598"/>
    <w:rsid w:val="00051C18"/>
    <w:rsid w:val="00054E89"/>
    <w:rsid w:val="00056FD5"/>
    <w:rsid w:val="00081448"/>
    <w:rsid w:val="00082B45"/>
    <w:rsid w:val="0008593A"/>
    <w:rsid w:val="00097AAB"/>
    <w:rsid w:val="000B576D"/>
    <w:rsid w:val="000C56AD"/>
    <w:rsid w:val="000D4031"/>
    <w:rsid w:val="000E0F90"/>
    <w:rsid w:val="000E53C2"/>
    <w:rsid w:val="000E5B3C"/>
    <w:rsid w:val="000E75C2"/>
    <w:rsid w:val="000F0025"/>
    <w:rsid w:val="000F6936"/>
    <w:rsid w:val="00101B87"/>
    <w:rsid w:val="00106DC4"/>
    <w:rsid w:val="00124EB6"/>
    <w:rsid w:val="0013610F"/>
    <w:rsid w:val="001365A6"/>
    <w:rsid w:val="00160AF6"/>
    <w:rsid w:val="00163C4C"/>
    <w:rsid w:val="0016660A"/>
    <w:rsid w:val="001753D1"/>
    <w:rsid w:val="00182705"/>
    <w:rsid w:val="001966BE"/>
    <w:rsid w:val="001A1A15"/>
    <w:rsid w:val="001A7A85"/>
    <w:rsid w:val="001C10F9"/>
    <w:rsid w:val="001D1869"/>
    <w:rsid w:val="001D5956"/>
    <w:rsid w:val="001E160E"/>
    <w:rsid w:val="001E56A5"/>
    <w:rsid w:val="001E7C57"/>
    <w:rsid w:val="001F0205"/>
    <w:rsid w:val="001F20E8"/>
    <w:rsid w:val="002018CA"/>
    <w:rsid w:val="00205006"/>
    <w:rsid w:val="002126FB"/>
    <w:rsid w:val="00216E6E"/>
    <w:rsid w:val="00236BC9"/>
    <w:rsid w:val="002400B9"/>
    <w:rsid w:val="00254358"/>
    <w:rsid w:val="0027339B"/>
    <w:rsid w:val="00275946"/>
    <w:rsid w:val="00281385"/>
    <w:rsid w:val="0028172C"/>
    <w:rsid w:val="00295550"/>
    <w:rsid w:val="002A0A8D"/>
    <w:rsid w:val="002A2391"/>
    <w:rsid w:val="002C2F8E"/>
    <w:rsid w:val="002E12B6"/>
    <w:rsid w:val="002E4761"/>
    <w:rsid w:val="002E76C7"/>
    <w:rsid w:val="002E7F8D"/>
    <w:rsid w:val="003030C3"/>
    <w:rsid w:val="003107A5"/>
    <w:rsid w:val="00312CE7"/>
    <w:rsid w:val="0031669E"/>
    <w:rsid w:val="00323A07"/>
    <w:rsid w:val="003464DE"/>
    <w:rsid w:val="00360556"/>
    <w:rsid w:val="00362F99"/>
    <w:rsid w:val="0036329D"/>
    <w:rsid w:val="0036450A"/>
    <w:rsid w:val="003655AC"/>
    <w:rsid w:val="00382DA9"/>
    <w:rsid w:val="003838D6"/>
    <w:rsid w:val="00390DCA"/>
    <w:rsid w:val="00392E21"/>
    <w:rsid w:val="00393BB0"/>
    <w:rsid w:val="0039697D"/>
    <w:rsid w:val="003A2530"/>
    <w:rsid w:val="003A5D31"/>
    <w:rsid w:val="003D00C3"/>
    <w:rsid w:val="003D1F1B"/>
    <w:rsid w:val="003E14AD"/>
    <w:rsid w:val="003F2D05"/>
    <w:rsid w:val="004106B2"/>
    <w:rsid w:val="0041457B"/>
    <w:rsid w:val="00415835"/>
    <w:rsid w:val="00423DAE"/>
    <w:rsid w:val="004511C7"/>
    <w:rsid w:val="00462BFC"/>
    <w:rsid w:val="0046349C"/>
    <w:rsid w:val="0047501B"/>
    <w:rsid w:val="00484869"/>
    <w:rsid w:val="00487F57"/>
    <w:rsid w:val="004B3957"/>
    <w:rsid w:val="004E0C41"/>
    <w:rsid w:val="004F55A6"/>
    <w:rsid w:val="004F5780"/>
    <w:rsid w:val="004F6DCC"/>
    <w:rsid w:val="004F6FEF"/>
    <w:rsid w:val="00514D39"/>
    <w:rsid w:val="00515C4B"/>
    <w:rsid w:val="005431B0"/>
    <w:rsid w:val="00550229"/>
    <w:rsid w:val="005559C7"/>
    <w:rsid w:val="00557992"/>
    <w:rsid w:val="00566966"/>
    <w:rsid w:val="005729B3"/>
    <w:rsid w:val="005828CE"/>
    <w:rsid w:val="0059444E"/>
    <w:rsid w:val="005966BA"/>
    <w:rsid w:val="00596A31"/>
    <w:rsid w:val="00596DB7"/>
    <w:rsid w:val="00597D71"/>
    <w:rsid w:val="005A087D"/>
    <w:rsid w:val="005A0FA4"/>
    <w:rsid w:val="005A5133"/>
    <w:rsid w:val="005B1EF6"/>
    <w:rsid w:val="005C3713"/>
    <w:rsid w:val="005D13E6"/>
    <w:rsid w:val="005D4F4B"/>
    <w:rsid w:val="005D5137"/>
    <w:rsid w:val="005F1C4C"/>
    <w:rsid w:val="005F2B79"/>
    <w:rsid w:val="005F5E80"/>
    <w:rsid w:val="00604CB6"/>
    <w:rsid w:val="00614251"/>
    <w:rsid w:val="00620D98"/>
    <w:rsid w:val="0063367E"/>
    <w:rsid w:val="006379DA"/>
    <w:rsid w:val="00637ED1"/>
    <w:rsid w:val="006539F6"/>
    <w:rsid w:val="00656DAD"/>
    <w:rsid w:val="006743E2"/>
    <w:rsid w:val="00691F1B"/>
    <w:rsid w:val="006943F7"/>
    <w:rsid w:val="006A766C"/>
    <w:rsid w:val="006B54A3"/>
    <w:rsid w:val="006B6689"/>
    <w:rsid w:val="006C1440"/>
    <w:rsid w:val="006D2D9F"/>
    <w:rsid w:val="006E04A6"/>
    <w:rsid w:val="006E1DC0"/>
    <w:rsid w:val="006E319E"/>
    <w:rsid w:val="00705A79"/>
    <w:rsid w:val="00722855"/>
    <w:rsid w:val="007233D1"/>
    <w:rsid w:val="00725ED3"/>
    <w:rsid w:val="00731C5D"/>
    <w:rsid w:val="007323AB"/>
    <w:rsid w:val="007334E2"/>
    <w:rsid w:val="00735E9E"/>
    <w:rsid w:val="00745255"/>
    <w:rsid w:val="007647EA"/>
    <w:rsid w:val="00771E1E"/>
    <w:rsid w:val="0077568A"/>
    <w:rsid w:val="00793987"/>
    <w:rsid w:val="007A2F8C"/>
    <w:rsid w:val="007B0D0B"/>
    <w:rsid w:val="007B697C"/>
    <w:rsid w:val="007C0A8B"/>
    <w:rsid w:val="007C62C5"/>
    <w:rsid w:val="007D77CE"/>
    <w:rsid w:val="007E0793"/>
    <w:rsid w:val="007F66E7"/>
    <w:rsid w:val="008141A4"/>
    <w:rsid w:val="00826C20"/>
    <w:rsid w:val="0083026C"/>
    <w:rsid w:val="0083147D"/>
    <w:rsid w:val="0083454D"/>
    <w:rsid w:val="00834995"/>
    <w:rsid w:val="00834E02"/>
    <w:rsid w:val="00842592"/>
    <w:rsid w:val="008613B3"/>
    <w:rsid w:val="00880019"/>
    <w:rsid w:val="008A4FE3"/>
    <w:rsid w:val="008A6D72"/>
    <w:rsid w:val="008B31D8"/>
    <w:rsid w:val="008B35C2"/>
    <w:rsid w:val="008C2AD0"/>
    <w:rsid w:val="008C689C"/>
    <w:rsid w:val="008C7C4D"/>
    <w:rsid w:val="008D7E28"/>
    <w:rsid w:val="008E0700"/>
    <w:rsid w:val="008E47DB"/>
    <w:rsid w:val="008F0A89"/>
    <w:rsid w:val="008F0F8D"/>
    <w:rsid w:val="00906345"/>
    <w:rsid w:val="00914151"/>
    <w:rsid w:val="00915929"/>
    <w:rsid w:val="00941E0E"/>
    <w:rsid w:val="00943C17"/>
    <w:rsid w:val="0095091D"/>
    <w:rsid w:val="00951337"/>
    <w:rsid w:val="009520DF"/>
    <w:rsid w:val="00955F51"/>
    <w:rsid w:val="00956B42"/>
    <w:rsid w:val="00962982"/>
    <w:rsid w:val="009674A3"/>
    <w:rsid w:val="00974097"/>
    <w:rsid w:val="00975CCC"/>
    <w:rsid w:val="00980585"/>
    <w:rsid w:val="00993C15"/>
    <w:rsid w:val="009A4706"/>
    <w:rsid w:val="009B1A75"/>
    <w:rsid w:val="009C5E94"/>
    <w:rsid w:val="009D073F"/>
    <w:rsid w:val="009D3960"/>
    <w:rsid w:val="009D789A"/>
    <w:rsid w:val="009E2CA1"/>
    <w:rsid w:val="009E664D"/>
    <w:rsid w:val="009E7FC5"/>
    <w:rsid w:val="009F2F9D"/>
    <w:rsid w:val="00A018B8"/>
    <w:rsid w:val="00A07D07"/>
    <w:rsid w:val="00A14324"/>
    <w:rsid w:val="00A22099"/>
    <w:rsid w:val="00A267A9"/>
    <w:rsid w:val="00A2685F"/>
    <w:rsid w:val="00A26B04"/>
    <w:rsid w:val="00A30B31"/>
    <w:rsid w:val="00A358E2"/>
    <w:rsid w:val="00A36EFA"/>
    <w:rsid w:val="00A40376"/>
    <w:rsid w:val="00A41F6C"/>
    <w:rsid w:val="00A52AD0"/>
    <w:rsid w:val="00A566CD"/>
    <w:rsid w:val="00A63554"/>
    <w:rsid w:val="00A74706"/>
    <w:rsid w:val="00A750AF"/>
    <w:rsid w:val="00A7667F"/>
    <w:rsid w:val="00A77D3A"/>
    <w:rsid w:val="00A83E33"/>
    <w:rsid w:val="00A864BC"/>
    <w:rsid w:val="00A86E48"/>
    <w:rsid w:val="00A9411D"/>
    <w:rsid w:val="00AA3E53"/>
    <w:rsid w:val="00AB2D9E"/>
    <w:rsid w:val="00AB589B"/>
    <w:rsid w:val="00AC2FD8"/>
    <w:rsid w:val="00AD73CB"/>
    <w:rsid w:val="00AE23FC"/>
    <w:rsid w:val="00AE3ACA"/>
    <w:rsid w:val="00B14013"/>
    <w:rsid w:val="00B2659A"/>
    <w:rsid w:val="00B36A4F"/>
    <w:rsid w:val="00B42B4B"/>
    <w:rsid w:val="00B444F6"/>
    <w:rsid w:val="00B6030B"/>
    <w:rsid w:val="00B67616"/>
    <w:rsid w:val="00B70890"/>
    <w:rsid w:val="00B76F44"/>
    <w:rsid w:val="00B82FD3"/>
    <w:rsid w:val="00B91819"/>
    <w:rsid w:val="00B91E23"/>
    <w:rsid w:val="00B94119"/>
    <w:rsid w:val="00B97623"/>
    <w:rsid w:val="00BA1E55"/>
    <w:rsid w:val="00BB11E4"/>
    <w:rsid w:val="00BC40FF"/>
    <w:rsid w:val="00BD1EB5"/>
    <w:rsid w:val="00BE6680"/>
    <w:rsid w:val="00C0045D"/>
    <w:rsid w:val="00C021F7"/>
    <w:rsid w:val="00C04223"/>
    <w:rsid w:val="00C2538F"/>
    <w:rsid w:val="00C57E06"/>
    <w:rsid w:val="00C60D92"/>
    <w:rsid w:val="00C76235"/>
    <w:rsid w:val="00C81B6F"/>
    <w:rsid w:val="00C86549"/>
    <w:rsid w:val="00C87BB8"/>
    <w:rsid w:val="00C93E0A"/>
    <w:rsid w:val="00C96B19"/>
    <w:rsid w:val="00CA7087"/>
    <w:rsid w:val="00CB3404"/>
    <w:rsid w:val="00CC4D5E"/>
    <w:rsid w:val="00CC549B"/>
    <w:rsid w:val="00CC6853"/>
    <w:rsid w:val="00CD4060"/>
    <w:rsid w:val="00CD6132"/>
    <w:rsid w:val="00CE03FF"/>
    <w:rsid w:val="00CE4BC5"/>
    <w:rsid w:val="00CE5E77"/>
    <w:rsid w:val="00CF0B67"/>
    <w:rsid w:val="00CF1AB0"/>
    <w:rsid w:val="00D05C9C"/>
    <w:rsid w:val="00D1643B"/>
    <w:rsid w:val="00D211F7"/>
    <w:rsid w:val="00D249F3"/>
    <w:rsid w:val="00D407A8"/>
    <w:rsid w:val="00D506EC"/>
    <w:rsid w:val="00D54938"/>
    <w:rsid w:val="00D770E5"/>
    <w:rsid w:val="00D9124A"/>
    <w:rsid w:val="00D96D10"/>
    <w:rsid w:val="00DA60EA"/>
    <w:rsid w:val="00DC17CC"/>
    <w:rsid w:val="00DC21C9"/>
    <w:rsid w:val="00DC7683"/>
    <w:rsid w:val="00DD073F"/>
    <w:rsid w:val="00DD7267"/>
    <w:rsid w:val="00DE1119"/>
    <w:rsid w:val="00DE1198"/>
    <w:rsid w:val="00DF5A25"/>
    <w:rsid w:val="00E050B9"/>
    <w:rsid w:val="00E351F5"/>
    <w:rsid w:val="00E366D0"/>
    <w:rsid w:val="00E43111"/>
    <w:rsid w:val="00E51535"/>
    <w:rsid w:val="00E556F1"/>
    <w:rsid w:val="00E56CB0"/>
    <w:rsid w:val="00E608B1"/>
    <w:rsid w:val="00E67D0A"/>
    <w:rsid w:val="00E743A3"/>
    <w:rsid w:val="00E76A03"/>
    <w:rsid w:val="00E920A3"/>
    <w:rsid w:val="00E93045"/>
    <w:rsid w:val="00EA0360"/>
    <w:rsid w:val="00EB1EDB"/>
    <w:rsid w:val="00EB6881"/>
    <w:rsid w:val="00EC3BC8"/>
    <w:rsid w:val="00EE51DD"/>
    <w:rsid w:val="00EF148C"/>
    <w:rsid w:val="00EF6259"/>
    <w:rsid w:val="00F176DE"/>
    <w:rsid w:val="00F22D9D"/>
    <w:rsid w:val="00F24488"/>
    <w:rsid w:val="00F2561B"/>
    <w:rsid w:val="00F307A5"/>
    <w:rsid w:val="00F37D46"/>
    <w:rsid w:val="00F404E7"/>
    <w:rsid w:val="00F50497"/>
    <w:rsid w:val="00F53102"/>
    <w:rsid w:val="00F55F89"/>
    <w:rsid w:val="00F61661"/>
    <w:rsid w:val="00F6283C"/>
    <w:rsid w:val="00F761E8"/>
    <w:rsid w:val="00F80576"/>
    <w:rsid w:val="00F912AB"/>
    <w:rsid w:val="00F91D61"/>
    <w:rsid w:val="00F93637"/>
    <w:rsid w:val="00FA03FA"/>
    <w:rsid w:val="00FA551B"/>
    <w:rsid w:val="00FB437A"/>
    <w:rsid w:val="00FC575C"/>
    <w:rsid w:val="00FD1F9B"/>
    <w:rsid w:val="00FE3BAF"/>
    <w:rsid w:val="00FE44A8"/>
    <w:rsid w:val="00FF0F32"/>
    <w:rsid w:val="00FF22F4"/>
    <w:rsid w:val="00FF30BA"/>
    <w:rsid w:val="00FF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11F3"/>
  <w15:docId w15:val="{47003629-09BE-4757-90DE-E1E76F3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3B17-5881-4D83-8838-44188326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Дапык Саглана Начыновна</dc:creator>
  <cp:lastModifiedBy>Айлаана Куулар</cp:lastModifiedBy>
  <cp:revision>56</cp:revision>
  <cp:lastPrinted>2022-03-25T14:10:00Z</cp:lastPrinted>
  <dcterms:created xsi:type="dcterms:W3CDTF">2025-04-29T03:24:00Z</dcterms:created>
  <dcterms:modified xsi:type="dcterms:W3CDTF">2025-07-21T02:10:00Z</dcterms:modified>
</cp:coreProperties>
</file>