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D69" w:rsidRDefault="00263D69" w:rsidP="00263D69">
      <w:pPr>
        <w:pStyle w:val="ConsPlusNormal"/>
        <w:jc w:val="both"/>
      </w:pPr>
    </w:p>
    <w:p w:rsidR="00263D69" w:rsidRDefault="00263D69" w:rsidP="00263D69">
      <w:pPr>
        <w:pStyle w:val="ConsPlusNormal"/>
        <w:jc w:val="both"/>
        <w:outlineLvl w:val="1"/>
      </w:pPr>
      <w:r>
        <w:rPr>
          <w:b/>
          <w:bCs/>
        </w:rPr>
        <w:t>БАНКОВСКОЕ ДЕЛО</w:t>
      </w:r>
    </w:p>
    <w:p w:rsidR="00263D69" w:rsidRDefault="00263D69" w:rsidP="00263D69">
      <w:pPr>
        <w:pStyle w:val="ConsPlusNormal"/>
        <w:spacing w:before="240"/>
        <w:jc w:val="both"/>
      </w:pPr>
      <w:r>
        <w:rPr>
          <w:b/>
          <w:bCs/>
        </w:rPr>
        <w:t>Банком России сокращены сроки хранения бюро кредитных историй ряда сведений и документов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263D69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D69" w:rsidRDefault="00263D69" w:rsidP="002529DD">
            <w:pPr>
              <w:pStyle w:val="ConsPlusNormal"/>
              <w:spacing w:before="2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263D69" w:rsidRDefault="00263D69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263D69" w:rsidRDefault="00263D69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Указание</w:t>
            </w:r>
            <w:r>
              <w:rPr>
                <w:sz w:val="20"/>
                <w:szCs w:val="20"/>
              </w:rPr>
              <w:t xml:space="preserve"> Банка России от 08.11.2022 N 6309-У</w:t>
            </w:r>
            <w:r>
              <w:rPr>
                <w:sz w:val="20"/>
                <w:szCs w:val="20"/>
              </w:rPr>
              <w:br/>
              <w:t>"О внесении изменений в Положение Банка России от 4 декабря 2020 года N 743-П и Положение Банка России от 18 августа 2021 года N 770-П"</w:t>
            </w:r>
            <w:r>
              <w:rPr>
                <w:sz w:val="20"/>
                <w:szCs w:val="20"/>
              </w:rPr>
              <w:br/>
              <w:t>Зарегистрировано в Минюсте России 14.12.2022 N 71524.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D69" w:rsidRDefault="00263D69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263D69" w:rsidRDefault="00263D69" w:rsidP="00263D69">
      <w:pPr>
        <w:pStyle w:val="ConsPlusNormal"/>
        <w:spacing w:before="240"/>
        <w:jc w:val="both"/>
      </w:pPr>
      <w:r>
        <w:t>Так, с трех лет до одного года сокращены сроки хранения:</w:t>
      </w:r>
    </w:p>
    <w:p w:rsidR="00263D69" w:rsidRDefault="00263D69" w:rsidP="00263D69">
      <w:pPr>
        <w:pStyle w:val="ConsPlusNormal"/>
        <w:spacing w:before="240"/>
        <w:jc w:val="both"/>
      </w:pPr>
      <w:r>
        <w:t>сведений, направленных в адрес контрагентов при предоставлении квалифицированным бюро услуг;</w:t>
      </w:r>
    </w:p>
    <w:p w:rsidR="00263D69" w:rsidRDefault="00263D69" w:rsidP="00263D69">
      <w:pPr>
        <w:pStyle w:val="ConsPlusNormal"/>
        <w:spacing w:before="240"/>
        <w:jc w:val="both"/>
      </w:pPr>
      <w:r>
        <w:t>форм подтверждения пользователями кредитной истории наличия согласия субъекта кредитной</w:t>
      </w:r>
      <w:r w:rsidRPr="00263D69">
        <w:t xml:space="preserve"> </w:t>
      </w:r>
      <w:r>
        <w:t>истории на получение его кредитного отчета;</w:t>
      </w:r>
    </w:p>
    <w:p w:rsidR="00263D69" w:rsidRDefault="00263D69" w:rsidP="00263D69">
      <w:pPr>
        <w:pStyle w:val="ConsPlusNormal"/>
        <w:spacing w:before="240"/>
        <w:jc w:val="both"/>
      </w:pPr>
      <w:r>
        <w:t>кредитных отчетов, предоставляемых по запросу пользователей кредитной истории (включая передаваемые сведения о среднемесячных платежах, индивидуальные рейтинги и скоринги субъектов кредитных историй).</w:t>
      </w:r>
    </w:p>
    <w:p w:rsidR="00263D69" w:rsidRDefault="00263D69" w:rsidP="00263D69">
      <w:pPr>
        <w:pStyle w:val="ConsPlusNormal"/>
        <w:spacing w:before="240"/>
        <w:jc w:val="both"/>
      </w:pPr>
      <w:r>
        <w:t>Настоящее Указание вступает в силу по истечении 10 дней после дня его официального опубликования.</w:t>
      </w:r>
    </w:p>
    <w:p w:rsidR="00263D69" w:rsidRDefault="00263D69" w:rsidP="00263D69">
      <w:pPr>
        <w:pStyle w:val="ConsPlusNormal"/>
        <w:jc w:val="both"/>
      </w:pPr>
    </w:p>
    <w:p w:rsidR="00263D69" w:rsidRDefault="00263D69" w:rsidP="00263D69">
      <w:pPr>
        <w:pStyle w:val="ConsPlusNormal"/>
        <w:jc w:val="both"/>
      </w:pPr>
      <w:r>
        <w:rPr>
          <w:b/>
          <w:bCs/>
        </w:rPr>
        <w:t>Банком России подготовлены разъяснения по порядку формирования кредитных историй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263D69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D69" w:rsidRDefault="00263D69" w:rsidP="002529D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263D69" w:rsidRDefault="00263D69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263D69" w:rsidRDefault="00263D69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color w:val="0000FF"/>
                <w:sz w:val="20"/>
                <w:szCs w:val="20"/>
              </w:rPr>
              <w:t>Письмо&gt;</w:t>
            </w:r>
            <w:r>
              <w:rPr>
                <w:sz w:val="20"/>
                <w:szCs w:val="20"/>
              </w:rPr>
              <w:t xml:space="preserve"> Банка России от 16.12.2022 N 46-7-1/2729</w:t>
            </w:r>
            <w:r>
              <w:rPr>
                <w:sz w:val="20"/>
                <w:szCs w:val="20"/>
              </w:rPr>
              <w:br/>
              <w:t>"О применении Положения N 758-П"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D69" w:rsidRDefault="00263D69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263D69" w:rsidRDefault="00263D69" w:rsidP="00263D69">
      <w:pPr>
        <w:pStyle w:val="ConsPlusNormal"/>
        <w:spacing w:before="240"/>
        <w:jc w:val="both"/>
      </w:pPr>
      <w:r>
        <w:t>В частности, даны ответы на следующие вопросы:</w:t>
      </w:r>
    </w:p>
    <w:p w:rsidR="00263D69" w:rsidRDefault="00263D69" w:rsidP="00263D69">
      <w:pPr>
        <w:pStyle w:val="ConsPlusNormal"/>
        <w:spacing w:before="240"/>
        <w:jc w:val="both"/>
      </w:pPr>
      <w:r>
        <w:t>- Требуется ли предоставление данных по кредитному договору с умершим заемщиком, если взыскание задолженности в судебном порядке (направлено исковое заявление, получено решение суда) проведено в отношении наследника или в пределах стоимости выморочного имущества?</w:t>
      </w:r>
    </w:p>
    <w:p w:rsidR="00263D69" w:rsidRDefault="00263D69" w:rsidP="00263D69">
      <w:pPr>
        <w:pStyle w:val="ConsPlusNormal"/>
        <w:spacing w:before="240"/>
        <w:jc w:val="both"/>
      </w:pPr>
      <w:r>
        <w:t xml:space="preserve">- Включаются ли в состав показателя ЮЛ_28.3 "Сумма, выплаченная принципалом" уплаченные принципалом комиссионные вознаграждения, штрафы, пени, неустойки, госпошлина и иные платежи, отличные </w:t>
      </w:r>
      <w:bookmarkStart w:id="0" w:name="_GoBack"/>
      <w:bookmarkEnd w:id="0"/>
      <w:r>
        <w:t>от суммы регрессного платежа, подлежащей уплате по требованию гаранта?</w:t>
      </w:r>
    </w:p>
    <w:p w:rsidR="00263D69" w:rsidRDefault="00263D69" w:rsidP="00263D69">
      <w:pPr>
        <w:pStyle w:val="ConsPlusNormal"/>
        <w:spacing w:before="240"/>
        <w:jc w:val="both"/>
      </w:pPr>
      <w:r>
        <w:t>- Какое значение должен принимать показатель ЮЛ_44.2 "Процентная ставка", если договором предусмотрена плавающая процентная ставка?</w:t>
      </w:r>
    </w:p>
    <w:p w:rsidR="00DD6373" w:rsidRDefault="00263D69" w:rsidP="00263D69"/>
    <w:p w:rsidR="00263D69" w:rsidRDefault="00263D69" w:rsidP="00263D69"/>
    <w:p w:rsidR="00263D69" w:rsidRPr="00263D69" w:rsidRDefault="00263D69" w:rsidP="00263D6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63D69">
        <w:rPr>
          <w:rFonts w:ascii="Times New Roman" w:hAnsi="Times New Roman" w:cs="Times New Roman"/>
          <w:sz w:val="28"/>
          <w:szCs w:val="28"/>
        </w:rPr>
        <w:t>А.С.Ооржак</w:t>
      </w:r>
      <w:proofErr w:type="spellEnd"/>
      <w:r w:rsidRPr="00263D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3D69" w:rsidRPr="0026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69"/>
    <w:rsid w:val="000D0E8E"/>
    <w:rsid w:val="00263D69"/>
    <w:rsid w:val="00A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4719"/>
  <w15:chartTrackingRefBased/>
  <w15:docId w15:val="{903D1824-780C-4FC1-BAF9-59493036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Азияна Сергеевна</dc:creator>
  <cp:keywords/>
  <dc:description/>
  <cp:lastModifiedBy>Ооржак Азияна Сергеевна</cp:lastModifiedBy>
  <cp:revision>1</cp:revision>
  <dcterms:created xsi:type="dcterms:W3CDTF">2022-12-27T03:04:00Z</dcterms:created>
  <dcterms:modified xsi:type="dcterms:W3CDTF">2022-12-27T03:05:00Z</dcterms:modified>
</cp:coreProperties>
</file>